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9BB50" w14:textId="35A5ED31" w:rsidR="00124E70" w:rsidRDefault="007C43B6">
      <w:pPr>
        <w:rPr>
          <w:lang w:val="en-US"/>
        </w:rPr>
      </w:pPr>
      <w:r w:rsidRPr="007C43B6">
        <w:rPr>
          <w:lang w:val="en-US"/>
        </w:rPr>
        <w:t>Review of WHO report on f</w:t>
      </w:r>
      <w:r>
        <w:rPr>
          <w:lang w:val="en-US"/>
        </w:rPr>
        <w:t>inancial protection in Georgia</w:t>
      </w:r>
    </w:p>
    <w:p w14:paraId="39895069" w14:textId="63DE9D4A" w:rsidR="007C43B6" w:rsidRDefault="007C43B6">
      <w:pPr>
        <w:rPr>
          <w:lang w:val="en-US"/>
        </w:rPr>
      </w:pPr>
    </w:p>
    <w:p w14:paraId="6E451538" w14:textId="3C5FA33F" w:rsidR="007C43B6" w:rsidRPr="00D361F0" w:rsidRDefault="007C43B6">
      <w:pPr>
        <w:rPr>
          <w:b/>
          <w:bCs/>
          <w:lang w:val="en-US"/>
        </w:rPr>
      </w:pPr>
      <w:r w:rsidRPr="00D361F0">
        <w:rPr>
          <w:b/>
          <w:bCs/>
          <w:lang w:val="en-US"/>
        </w:rPr>
        <w:t>General remarks</w:t>
      </w:r>
    </w:p>
    <w:p w14:paraId="3C066C72" w14:textId="07F899B3" w:rsidR="007C43B6" w:rsidRDefault="007C43B6" w:rsidP="007C43B6">
      <w:pPr>
        <w:pStyle w:val="ListParagraph"/>
        <w:numPr>
          <w:ilvl w:val="0"/>
          <w:numId w:val="1"/>
        </w:numPr>
        <w:ind w:left="714" w:hanging="357"/>
        <w:contextualSpacing w:val="0"/>
        <w:rPr>
          <w:lang w:val="en-US"/>
        </w:rPr>
      </w:pPr>
      <w:r>
        <w:rPr>
          <w:lang w:val="en-US"/>
        </w:rPr>
        <w:t>Overall an interesting and highly relevant topic that deserves increased attention in Georgia.</w:t>
      </w:r>
      <w:r w:rsidR="00317788">
        <w:rPr>
          <w:lang w:val="en-US"/>
        </w:rPr>
        <w:t xml:space="preserve"> As an </w:t>
      </w:r>
      <w:r w:rsidR="00F170BD">
        <w:rPr>
          <w:lang w:val="en-US"/>
        </w:rPr>
        <w:t>observer of Georgia for over ten years and with a background in economics</w:t>
      </w:r>
      <w:r w:rsidR="00317788">
        <w:rPr>
          <w:lang w:val="en-US"/>
        </w:rPr>
        <w:t>, I learned a lot from reading this report.</w:t>
      </w:r>
    </w:p>
    <w:p w14:paraId="4870E1FE" w14:textId="3BAF2425" w:rsidR="007C43B6" w:rsidRDefault="007C43B6" w:rsidP="007C43B6">
      <w:pPr>
        <w:pStyle w:val="ListParagraph"/>
        <w:numPr>
          <w:ilvl w:val="0"/>
          <w:numId w:val="1"/>
        </w:numPr>
        <w:ind w:left="714" w:hanging="357"/>
        <w:contextualSpacing w:val="0"/>
        <w:rPr>
          <w:lang w:val="en-US"/>
        </w:rPr>
      </w:pPr>
      <w:commentRangeStart w:id="0"/>
      <w:r>
        <w:rPr>
          <w:lang w:val="en-US"/>
        </w:rPr>
        <w:t>The report would benefit from a clearer focus on the main empirical results and policy implications already in the introductory part of the text</w:t>
      </w:r>
      <w:commentRangeEnd w:id="0"/>
      <w:r w:rsidR="002822C2">
        <w:rPr>
          <w:rStyle w:val="CommentReference"/>
        </w:rPr>
        <w:commentReference w:id="0"/>
      </w:r>
      <w:r>
        <w:rPr>
          <w:lang w:val="en-US"/>
        </w:rPr>
        <w:t xml:space="preserve">. This is especially relevant since the main findings are somewhat counterintuitive: </w:t>
      </w:r>
    </w:p>
    <w:p w14:paraId="349A67C0" w14:textId="5891F7DE" w:rsidR="007C43B6" w:rsidRDefault="007C43B6" w:rsidP="007C43B6">
      <w:pPr>
        <w:pStyle w:val="ListParagraph"/>
        <w:numPr>
          <w:ilvl w:val="1"/>
          <w:numId w:val="1"/>
        </w:numPr>
        <w:contextualSpacing w:val="0"/>
        <w:rPr>
          <w:lang w:val="en-US"/>
        </w:rPr>
      </w:pPr>
      <w:r>
        <w:rPr>
          <w:lang w:val="en-US"/>
        </w:rPr>
        <w:t>On the one hand the report documents that Georgia has conducted significant health reforms that have increased spending and access to health care, while on the other hand, more households are experiencing financial hardship as a result of out-of-pocket payments (OOPs). My interpretation of this result is that previously unmet needs are now being met, but at the cost of exposing more households to financial hardship.</w:t>
      </w:r>
      <w:r w:rsidR="004554CF">
        <w:rPr>
          <w:lang w:val="en-US"/>
        </w:rPr>
        <w:t xml:space="preserve"> </w:t>
      </w:r>
      <w:commentRangeStart w:id="1"/>
      <w:r w:rsidR="004554CF">
        <w:rPr>
          <w:lang w:val="en-US"/>
        </w:rPr>
        <w:t>The fact that the cost of medicines is the key factor could also be mentioned earlier in the report.</w:t>
      </w:r>
      <w:commentRangeEnd w:id="1"/>
      <w:r w:rsidR="00CA7F1D">
        <w:rPr>
          <w:rStyle w:val="CommentReference"/>
        </w:rPr>
        <w:commentReference w:id="1"/>
      </w:r>
    </w:p>
    <w:p w14:paraId="76DD3C50" w14:textId="1FF18DEE" w:rsidR="00F170BD" w:rsidRDefault="00F170BD" w:rsidP="007C43B6">
      <w:pPr>
        <w:pStyle w:val="ListParagraph"/>
        <w:numPr>
          <w:ilvl w:val="1"/>
          <w:numId w:val="1"/>
        </w:numPr>
        <w:contextualSpacing w:val="0"/>
        <w:rPr>
          <w:lang w:val="en-US"/>
        </w:rPr>
      </w:pPr>
      <w:r>
        <w:rPr>
          <w:lang w:val="en-US"/>
        </w:rPr>
        <w:t>Page 3 has a paragraph titled “What is the policy issue?” which articulates the problem in the following way: “lack of fina</w:t>
      </w:r>
      <w:r w:rsidR="00D361F0">
        <w:rPr>
          <w:lang w:val="en-US"/>
        </w:rPr>
        <w:t xml:space="preserve">ncial protection may reduce access to health care.” But in the case of Georgia, as a result of significant reforms, the problem rather seems to be that </w:t>
      </w:r>
      <w:r w:rsidR="00D361F0" w:rsidRPr="00D361F0">
        <w:rPr>
          <w:i/>
          <w:iCs/>
          <w:lang w:val="en-US"/>
        </w:rPr>
        <w:t>increased access</w:t>
      </w:r>
      <w:r w:rsidR="00D361F0">
        <w:rPr>
          <w:lang w:val="en-US"/>
        </w:rPr>
        <w:t xml:space="preserve"> to health care comes at the cost of increased financial hardship. At least this is my interpretation of the report’s findings.</w:t>
      </w:r>
      <w:r w:rsidR="00C825C9">
        <w:rPr>
          <w:lang w:val="en-US"/>
        </w:rPr>
        <w:t xml:space="preserve"> The possibility of this phenomenon is mentioned in general terms in Box 1 on page 19, but not in relation to Georgia.</w:t>
      </w:r>
      <w:r w:rsidR="00D361F0">
        <w:rPr>
          <w:lang w:val="en-US"/>
        </w:rPr>
        <w:t xml:space="preserve"> The policy implications of this phenomenon </w:t>
      </w:r>
      <w:r w:rsidR="00C825C9">
        <w:rPr>
          <w:lang w:val="en-US"/>
        </w:rPr>
        <w:t xml:space="preserve">specifically for Georgia </w:t>
      </w:r>
      <w:r w:rsidR="00D361F0">
        <w:rPr>
          <w:lang w:val="en-US"/>
        </w:rPr>
        <w:t>should be clearly presented early in the report, at least in a summarized form.</w:t>
      </w:r>
    </w:p>
    <w:p w14:paraId="646FF280" w14:textId="175913A7" w:rsidR="007C43B6" w:rsidRDefault="007C43B6" w:rsidP="007C43B6">
      <w:pPr>
        <w:pStyle w:val="ListParagraph"/>
        <w:numPr>
          <w:ilvl w:val="1"/>
          <w:numId w:val="1"/>
        </w:numPr>
        <w:contextualSpacing w:val="0"/>
        <w:rPr>
          <w:lang w:val="en-US"/>
        </w:rPr>
      </w:pPr>
      <w:commentRangeStart w:id="2"/>
      <w:r>
        <w:rPr>
          <w:lang w:val="en-US"/>
        </w:rPr>
        <w:t>On a related note, the terminology risks becoming somewhat confusing</w:t>
      </w:r>
      <w:commentRangeEnd w:id="2"/>
      <w:r w:rsidR="002822C2">
        <w:rPr>
          <w:rStyle w:val="CommentReference"/>
        </w:rPr>
        <w:commentReference w:id="2"/>
      </w:r>
      <w:r>
        <w:rPr>
          <w:lang w:val="en-US"/>
        </w:rPr>
        <w:t xml:space="preserve">. The term ‘catastrophic’ OOPs carries alarming connotations, but if this is the result of previously unmet needs that are now being addressed, it </w:t>
      </w:r>
      <w:proofErr w:type="gramStart"/>
      <w:r>
        <w:rPr>
          <w:lang w:val="en-US"/>
        </w:rPr>
        <w:t>actually represents</w:t>
      </w:r>
      <w:proofErr w:type="gramEnd"/>
      <w:r>
        <w:rPr>
          <w:lang w:val="en-US"/>
        </w:rPr>
        <w:t xml:space="preserve"> an improvement. The report briefly discusses the importance of policy reforms for the methodology, but this could arguably be discussed further. Furthermore, as a service to the reader, it could be useful with a short </w:t>
      </w:r>
      <w:r w:rsidR="00317788">
        <w:rPr>
          <w:lang w:val="en-US"/>
        </w:rPr>
        <w:t>motivation for why the term ‘catastrophic’ is being used, and the motivation behind its definition.</w:t>
      </w:r>
      <w:r w:rsidR="005418EF">
        <w:rPr>
          <w:lang w:val="en-US"/>
        </w:rPr>
        <w:t xml:space="preserve"> And finally, my understanding of the definition of the term is that an out-of-pocket payment can be categorized as ‘catastrophic’ but yet not qualify as ‘impoverishing’ since the household remains above the poverty line – this seems a bit counterintuitive compared to the everyday use of these terms; I would assume ‘catastrophic’ is always the worst possible outcome.</w:t>
      </w:r>
    </w:p>
    <w:p w14:paraId="4B2A68EB" w14:textId="58E5ED01" w:rsidR="00317788" w:rsidRDefault="00317788" w:rsidP="00317788">
      <w:pPr>
        <w:pStyle w:val="ListParagraph"/>
        <w:numPr>
          <w:ilvl w:val="0"/>
          <w:numId w:val="1"/>
        </w:numPr>
        <w:contextualSpacing w:val="0"/>
        <w:rPr>
          <w:lang w:val="en-US"/>
        </w:rPr>
      </w:pPr>
      <w:r>
        <w:rPr>
          <w:lang w:val="en-US"/>
        </w:rPr>
        <w:t>The UN Country Team in Georgia is currently in the final phase of agreeing the UN Sustainable Development Cooperation Framework with the Government of Georgia for the period 2021-2025. Some of the expected outcomes</w:t>
      </w:r>
      <w:r w:rsidR="005418EF">
        <w:rPr>
          <w:lang w:val="en-US"/>
        </w:rPr>
        <w:t xml:space="preserve"> of the UNSDCF</w:t>
      </w:r>
      <w:r>
        <w:rPr>
          <w:lang w:val="en-US"/>
        </w:rPr>
        <w:t xml:space="preserve"> are tightly related to the topics discussed in this report (and WHO is the lead reporter on some of the relevant </w:t>
      </w:r>
      <w:r w:rsidR="005418EF">
        <w:rPr>
          <w:lang w:val="en-US"/>
        </w:rPr>
        <w:t xml:space="preserve">UNSDCF </w:t>
      </w:r>
      <w:r>
        <w:rPr>
          <w:lang w:val="en-US"/>
        </w:rPr>
        <w:t xml:space="preserve">outputs). </w:t>
      </w:r>
      <w:commentRangeStart w:id="3"/>
      <w:r>
        <w:rPr>
          <w:lang w:val="en-US"/>
        </w:rPr>
        <w:t xml:space="preserve">It would be useful and welcome if a reference could be made to the </w:t>
      </w:r>
      <w:r>
        <w:rPr>
          <w:lang w:val="en-US"/>
        </w:rPr>
        <w:lastRenderedPageBreak/>
        <w:t xml:space="preserve">UNSDCF. The measures discussed in the report could potentially even be incorporated as indicators to measure progress towards </w:t>
      </w:r>
      <w:r w:rsidR="005418EF">
        <w:rPr>
          <w:lang w:val="en-US"/>
        </w:rPr>
        <w:t xml:space="preserve">some of </w:t>
      </w:r>
      <w:r>
        <w:rPr>
          <w:lang w:val="en-US"/>
        </w:rPr>
        <w:t xml:space="preserve">the </w:t>
      </w:r>
      <w:r w:rsidR="005418EF">
        <w:rPr>
          <w:lang w:val="en-US"/>
        </w:rPr>
        <w:t>outcomes of the UNSDCF</w:t>
      </w:r>
      <w:commentRangeEnd w:id="3"/>
      <w:r w:rsidR="002822C2">
        <w:rPr>
          <w:rStyle w:val="CommentReference"/>
        </w:rPr>
        <w:commentReference w:id="3"/>
      </w:r>
      <w:r>
        <w:rPr>
          <w:lang w:val="en-US"/>
        </w:rPr>
        <w:t>.</w:t>
      </w:r>
    </w:p>
    <w:p w14:paraId="0EADB533" w14:textId="09C53D0C" w:rsidR="00317788" w:rsidRDefault="00317788" w:rsidP="00317788">
      <w:pPr>
        <w:pStyle w:val="ListParagraph"/>
        <w:numPr>
          <w:ilvl w:val="0"/>
          <w:numId w:val="1"/>
        </w:numPr>
        <w:contextualSpacing w:val="0"/>
        <w:rPr>
          <w:lang w:val="en-US"/>
        </w:rPr>
      </w:pPr>
      <w:commentRangeStart w:id="4"/>
      <w:r>
        <w:rPr>
          <w:lang w:val="en-US"/>
        </w:rPr>
        <w:t xml:space="preserve">Furthermore, the introduction and framing of the report could benefit from a more forward-looking perspective: the very first sentence of the report establishes that it is based on an analysis of data for the period 2011-2018, which immediately begs the question of whether the results are still </w:t>
      </w:r>
      <w:r w:rsidR="00F170BD">
        <w:rPr>
          <w:lang w:val="en-US"/>
        </w:rPr>
        <w:t>relevant two years later. Indeed, the report goes on to discuss in some detail policy developments in 2019 and 2020, but this is not immediately clear</w:t>
      </w:r>
      <w:commentRangeEnd w:id="4"/>
      <w:r w:rsidR="002822C2">
        <w:rPr>
          <w:rStyle w:val="CommentReference"/>
        </w:rPr>
        <w:commentReference w:id="4"/>
      </w:r>
      <w:r w:rsidR="00F170BD">
        <w:rPr>
          <w:lang w:val="en-US"/>
        </w:rPr>
        <w:t>.</w:t>
      </w:r>
    </w:p>
    <w:p w14:paraId="1F04C040" w14:textId="6EC39F18" w:rsidR="00317788" w:rsidRDefault="00317788" w:rsidP="00317788">
      <w:pPr>
        <w:pStyle w:val="ListParagraph"/>
        <w:numPr>
          <w:ilvl w:val="0"/>
          <w:numId w:val="1"/>
        </w:numPr>
        <w:contextualSpacing w:val="0"/>
        <w:rPr>
          <w:lang w:val="en-US"/>
        </w:rPr>
      </w:pPr>
      <w:commentRangeStart w:id="5"/>
      <w:commentRangeStart w:id="6"/>
      <w:r>
        <w:rPr>
          <w:lang w:val="en-US"/>
        </w:rPr>
        <w:t>The report would also benefit from a discussion on the impact of the Covid-19 pandemic, at least in broad terms</w:t>
      </w:r>
      <w:commentRangeEnd w:id="5"/>
      <w:r w:rsidR="002822C2">
        <w:rPr>
          <w:rStyle w:val="CommentReference"/>
        </w:rPr>
        <w:commentReference w:id="5"/>
      </w:r>
      <w:commentRangeEnd w:id="6"/>
      <w:r w:rsidR="00CA7F1D">
        <w:rPr>
          <w:rStyle w:val="CommentReference"/>
        </w:rPr>
        <w:commentReference w:id="6"/>
      </w:r>
      <w:r>
        <w:rPr>
          <w:lang w:val="en-US"/>
        </w:rPr>
        <w:t>.</w:t>
      </w:r>
    </w:p>
    <w:p w14:paraId="61BB3C3A" w14:textId="2DB0275E" w:rsidR="00F170BD" w:rsidRPr="00F170BD" w:rsidRDefault="00F170BD" w:rsidP="00317788">
      <w:pPr>
        <w:pStyle w:val="ListParagraph"/>
        <w:numPr>
          <w:ilvl w:val="0"/>
          <w:numId w:val="1"/>
        </w:numPr>
        <w:contextualSpacing w:val="0"/>
        <w:rPr>
          <w:rStyle w:val="Hyperlink"/>
          <w:color w:val="auto"/>
          <w:u w:val="none"/>
          <w:lang w:val="en-US"/>
        </w:rPr>
      </w:pPr>
      <w:r>
        <w:rPr>
          <w:lang w:val="en-US"/>
        </w:rPr>
        <w:t>Some other related studies have been published by other UN Agencies recently and could be incorporated in the references, for example a UNICEF report in August 2020: “</w:t>
      </w:r>
      <w:r w:rsidRPr="002C0A0C">
        <w:rPr>
          <w:lang w:val="en-US"/>
        </w:rPr>
        <w:t>Supporting Families and Children</w:t>
      </w:r>
      <w:r>
        <w:rPr>
          <w:lang w:val="en-US"/>
        </w:rPr>
        <w:t xml:space="preserve">. </w:t>
      </w:r>
      <w:r w:rsidRPr="002C0A0C">
        <w:rPr>
          <w:lang w:val="en-US"/>
        </w:rPr>
        <w:t>Beyond COVID-19 Social protection in Southern and Eastern Europe and Central Asia</w:t>
      </w:r>
      <w:r>
        <w:rPr>
          <w:lang w:val="en-US"/>
        </w:rPr>
        <w:t xml:space="preserve">” </w:t>
      </w:r>
      <w:hyperlink r:id="rId8" w:history="1">
        <w:r w:rsidRPr="002C0A0C">
          <w:rPr>
            <w:rStyle w:val="Hyperlink"/>
            <w:lang w:val="en-US"/>
          </w:rPr>
          <w:t>https://www.unicef-irc.org/publications/pdf/Supporting Families and Children beyond COVID-19 Southern and Eastern Europe and Central Asia.pdf</w:t>
        </w:r>
      </w:hyperlink>
    </w:p>
    <w:p w14:paraId="5F2AC8AE" w14:textId="77777777" w:rsidR="00772801" w:rsidRDefault="00F170BD" w:rsidP="00772801">
      <w:pPr>
        <w:pStyle w:val="ListParagraph"/>
        <w:numPr>
          <w:ilvl w:val="0"/>
          <w:numId w:val="1"/>
        </w:numPr>
        <w:contextualSpacing w:val="0"/>
        <w:rPr>
          <w:lang w:val="en-US"/>
        </w:rPr>
      </w:pPr>
      <w:commentRangeStart w:id="7"/>
      <w:commentRangeStart w:id="8"/>
      <w:r>
        <w:rPr>
          <w:lang w:val="en-US"/>
        </w:rPr>
        <w:t xml:space="preserve">The report presents a wealth of data organized into many figures. Some of these figures are more interesting than others, </w:t>
      </w:r>
      <w:proofErr w:type="gramStart"/>
      <w:r>
        <w:rPr>
          <w:lang w:val="en-US"/>
        </w:rPr>
        <w:t>and also</w:t>
      </w:r>
      <w:proofErr w:type="gramEnd"/>
      <w:r>
        <w:rPr>
          <w:lang w:val="en-US"/>
        </w:rPr>
        <w:t xml:space="preserve"> easier to understand. One option could be to consider removing some figures and highlighting others. For example, Figure 23 which compares the incidence of catastrophic OOP in Georgia to other countries could maybe be presented already in the introduction to help frame the discussion</w:t>
      </w:r>
      <w:commentRangeEnd w:id="7"/>
      <w:r w:rsidR="002822C2">
        <w:rPr>
          <w:rStyle w:val="CommentReference"/>
        </w:rPr>
        <w:commentReference w:id="7"/>
      </w:r>
      <w:commentRangeEnd w:id="8"/>
      <w:r w:rsidR="00CA7F1D">
        <w:rPr>
          <w:rStyle w:val="CommentReference"/>
        </w:rPr>
        <w:commentReference w:id="8"/>
      </w:r>
      <w:r>
        <w:rPr>
          <w:lang w:val="en-US"/>
        </w:rPr>
        <w:t>.</w:t>
      </w:r>
      <w:r w:rsidR="00772801">
        <w:rPr>
          <w:lang w:val="en-US"/>
        </w:rPr>
        <w:t xml:space="preserve"> </w:t>
      </w:r>
      <w:r w:rsidR="00155800">
        <w:rPr>
          <w:lang w:val="en-US"/>
        </w:rPr>
        <w:t xml:space="preserve">On p. 17 it is mentioned that excluding people in the higher income bracket from universal coverage </w:t>
      </w:r>
      <w:r w:rsidR="005418EF">
        <w:rPr>
          <w:lang w:val="en-US"/>
        </w:rPr>
        <w:t xml:space="preserve">in 2017 was expected to </w:t>
      </w:r>
      <w:r w:rsidR="00155800">
        <w:rPr>
          <w:lang w:val="en-US"/>
        </w:rPr>
        <w:t>increase demand for private insurance but that this has not happened. It would be interesting with a short discus</w:t>
      </w:r>
    </w:p>
    <w:p w14:paraId="2C94C7AB" w14:textId="1543A557" w:rsidR="00155800" w:rsidRDefault="00155800" w:rsidP="00317788">
      <w:pPr>
        <w:pStyle w:val="ListParagraph"/>
        <w:numPr>
          <w:ilvl w:val="0"/>
          <w:numId w:val="1"/>
        </w:numPr>
        <w:contextualSpacing w:val="0"/>
        <w:rPr>
          <w:lang w:val="en-US"/>
        </w:rPr>
      </w:pPr>
      <w:r>
        <w:rPr>
          <w:lang w:val="en-US"/>
        </w:rPr>
        <w:t>sion on why this is the case.</w:t>
      </w:r>
    </w:p>
    <w:p w14:paraId="46153199" w14:textId="29CFD67D" w:rsidR="00F170BD" w:rsidRDefault="00F170BD" w:rsidP="00317788">
      <w:pPr>
        <w:pStyle w:val="ListParagraph"/>
        <w:numPr>
          <w:ilvl w:val="0"/>
          <w:numId w:val="1"/>
        </w:numPr>
        <w:contextualSpacing w:val="0"/>
        <w:rPr>
          <w:lang w:val="en-US"/>
        </w:rPr>
      </w:pPr>
      <w:commentRangeStart w:id="9"/>
      <w:r>
        <w:rPr>
          <w:lang w:val="en-US"/>
        </w:rPr>
        <w:t>I would encourage the inclusion of an executive summary with the main empirical findings and policy implications</w:t>
      </w:r>
      <w:r w:rsidR="00FA0BB9">
        <w:rPr>
          <w:lang w:val="en-US"/>
        </w:rPr>
        <w:t xml:space="preserve"> (or to incorporate this in the introduction).</w:t>
      </w:r>
      <w:commentRangeEnd w:id="9"/>
      <w:r w:rsidR="002822C2">
        <w:rPr>
          <w:rStyle w:val="CommentReference"/>
        </w:rPr>
        <w:commentReference w:id="9"/>
      </w:r>
    </w:p>
    <w:p w14:paraId="0613E7A3" w14:textId="4E5EF54B" w:rsidR="00F170BD" w:rsidRPr="00317788" w:rsidRDefault="00F170BD" w:rsidP="00317788">
      <w:pPr>
        <w:pStyle w:val="ListParagraph"/>
        <w:numPr>
          <w:ilvl w:val="0"/>
          <w:numId w:val="1"/>
        </w:numPr>
        <w:contextualSpacing w:val="0"/>
        <w:rPr>
          <w:lang w:val="en-US"/>
        </w:rPr>
      </w:pPr>
      <w:commentRangeStart w:id="10"/>
      <w:commentRangeStart w:id="11"/>
      <w:r>
        <w:rPr>
          <w:lang w:val="en-US"/>
        </w:rPr>
        <w:t>Chapters 6 and 7 contain a lot of repetition from the previous chapters; I would recommend consolidating the text and reduce the number of pages somewhat</w:t>
      </w:r>
      <w:commentRangeEnd w:id="10"/>
      <w:r w:rsidR="002822C2">
        <w:rPr>
          <w:rStyle w:val="CommentReference"/>
        </w:rPr>
        <w:commentReference w:id="10"/>
      </w:r>
      <w:commentRangeEnd w:id="11"/>
      <w:r w:rsidR="00DE55D0">
        <w:rPr>
          <w:rStyle w:val="CommentReference"/>
        </w:rPr>
        <w:commentReference w:id="11"/>
      </w:r>
      <w:r>
        <w:rPr>
          <w:lang w:val="en-US"/>
        </w:rPr>
        <w:t>.</w:t>
      </w:r>
    </w:p>
    <w:p w14:paraId="5A5F40F7" w14:textId="134C1AA6" w:rsidR="007C43B6" w:rsidRDefault="007C43B6">
      <w:pPr>
        <w:rPr>
          <w:lang w:val="en-US"/>
        </w:rPr>
      </w:pPr>
    </w:p>
    <w:p w14:paraId="69A720C1" w14:textId="6B285ED6" w:rsidR="007C43B6" w:rsidRPr="00D361F0" w:rsidRDefault="007C43B6">
      <w:pPr>
        <w:rPr>
          <w:b/>
          <w:bCs/>
          <w:lang w:val="en-US"/>
        </w:rPr>
      </w:pPr>
      <w:commentRangeStart w:id="13"/>
      <w:r w:rsidRPr="00D361F0">
        <w:rPr>
          <w:b/>
          <w:bCs/>
          <w:lang w:val="en-US"/>
        </w:rPr>
        <w:t>Other remarks</w:t>
      </w:r>
      <w:commentRangeEnd w:id="13"/>
      <w:r w:rsidR="007E329A">
        <w:rPr>
          <w:rStyle w:val="CommentReference"/>
        </w:rPr>
        <w:commentReference w:id="13"/>
      </w:r>
    </w:p>
    <w:p w14:paraId="06CB389F" w14:textId="6DF2B351" w:rsidR="00D361F0" w:rsidRDefault="00D361F0">
      <w:pPr>
        <w:rPr>
          <w:lang w:val="en-US"/>
        </w:rPr>
      </w:pPr>
      <w:r>
        <w:rPr>
          <w:lang w:val="en-US"/>
        </w:rPr>
        <w:t xml:space="preserve">P. 6: “Ilia State University” should be changed to “Ilia </w:t>
      </w:r>
      <w:proofErr w:type="spellStart"/>
      <w:r>
        <w:rPr>
          <w:lang w:val="en-US"/>
        </w:rPr>
        <w:t>Chavchavadze</w:t>
      </w:r>
      <w:proofErr w:type="spellEnd"/>
      <w:r>
        <w:rPr>
          <w:lang w:val="en-US"/>
        </w:rPr>
        <w:t xml:space="preserve"> State University”</w:t>
      </w:r>
    </w:p>
    <w:p w14:paraId="5A8EC985" w14:textId="77777777" w:rsidR="00D361F0" w:rsidRDefault="00D361F0">
      <w:pPr>
        <w:rPr>
          <w:lang w:val="en-US"/>
        </w:rPr>
      </w:pPr>
      <w:r>
        <w:rPr>
          <w:lang w:val="en-US"/>
        </w:rPr>
        <w:t xml:space="preserve">P. 12-14 and Table 3: </w:t>
      </w:r>
    </w:p>
    <w:p w14:paraId="12D61C52" w14:textId="1B149ED6" w:rsidR="00D361F0" w:rsidRDefault="00D361F0" w:rsidP="00D361F0">
      <w:pPr>
        <w:ind w:left="1304"/>
        <w:rPr>
          <w:lang w:val="en-US"/>
        </w:rPr>
      </w:pPr>
      <w:r>
        <w:rPr>
          <w:lang w:val="en-US"/>
        </w:rPr>
        <w:t>I would recommend spelling out in the narrative text the five different income categories</w:t>
      </w:r>
      <w:r w:rsidR="00FA0BB9">
        <w:rPr>
          <w:lang w:val="en-US"/>
        </w:rPr>
        <w:t xml:space="preserve"> (I-V)</w:t>
      </w:r>
      <w:r>
        <w:rPr>
          <w:lang w:val="en-US"/>
        </w:rPr>
        <w:t xml:space="preserve">; as it </w:t>
      </w:r>
      <w:proofErr w:type="gramStart"/>
      <w:r>
        <w:rPr>
          <w:lang w:val="en-US"/>
        </w:rPr>
        <w:t>stands</w:t>
      </w:r>
      <w:proofErr w:type="gramEnd"/>
      <w:r>
        <w:rPr>
          <w:lang w:val="en-US"/>
        </w:rPr>
        <w:t xml:space="preserve"> they are only introduced in Table 3.</w:t>
      </w:r>
    </w:p>
    <w:p w14:paraId="33E39816" w14:textId="63D134AD" w:rsidR="00D361F0" w:rsidRDefault="00D361F0" w:rsidP="00D361F0">
      <w:pPr>
        <w:ind w:left="1304"/>
        <w:rPr>
          <w:lang w:val="en-US"/>
        </w:rPr>
      </w:pPr>
      <w:r>
        <w:rPr>
          <w:lang w:val="en-US"/>
        </w:rPr>
        <w:t>It is also unclear to me why the five categories don’t capture the entire population but only 91%; who are the missing 9%?</w:t>
      </w:r>
    </w:p>
    <w:p w14:paraId="6BDEB600" w14:textId="55AC0DAF" w:rsidR="00D361F0" w:rsidRDefault="00D361F0" w:rsidP="00D361F0">
      <w:pPr>
        <w:ind w:left="1304"/>
        <w:rPr>
          <w:lang w:val="en-US"/>
        </w:rPr>
      </w:pPr>
      <w:r>
        <w:rPr>
          <w:lang w:val="en-US"/>
        </w:rPr>
        <w:t>At the bottom of p. 12 it is mentioned that 0.3 percent of the population don’t have any coverage. In the spirit of the vision to Leave No One Behind it could be meaningful to say something more about who this group represents.</w:t>
      </w:r>
    </w:p>
    <w:p w14:paraId="7BC5B44D" w14:textId="003894D1" w:rsidR="004554CF" w:rsidRDefault="00D361F0" w:rsidP="00D361F0">
      <w:pPr>
        <w:ind w:left="1304"/>
        <w:rPr>
          <w:lang w:val="en-US"/>
        </w:rPr>
      </w:pPr>
      <w:r>
        <w:rPr>
          <w:lang w:val="en-US"/>
        </w:rPr>
        <w:lastRenderedPageBreak/>
        <w:t xml:space="preserve">The “Social Assistance Scale” mentioned in Table 3 should be briefly explained. </w:t>
      </w:r>
      <w:r w:rsidR="004554CF">
        <w:rPr>
          <w:lang w:val="en-US"/>
        </w:rPr>
        <w:t>Please note also that the scale of this indicator must be corrected in Table 3</w:t>
      </w:r>
      <w:r w:rsidR="00FA0BB9">
        <w:rPr>
          <w:lang w:val="en-US"/>
        </w:rPr>
        <w:t>:</w:t>
      </w:r>
      <w:r w:rsidR="004554CF">
        <w:rPr>
          <w:lang w:val="en-US"/>
        </w:rPr>
        <w:t xml:space="preserve"> is the maximum 10,000 or 100,000?</w:t>
      </w:r>
    </w:p>
    <w:p w14:paraId="4495E1B1" w14:textId="4EB747C4" w:rsidR="00D361F0" w:rsidRDefault="004554CF" w:rsidP="004554CF">
      <w:pPr>
        <w:rPr>
          <w:lang w:val="en-US"/>
        </w:rPr>
      </w:pPr>
      <w:r>
        <w:rPr>
          <w:lang w:val="en-US"/>
        </w:rPr>
        <w:t>P. 14: The text mentions which outpatient medicines were covered “until 2020”. What changed in 2020?</w:t>
      </w:r>
    </w:p>
    <w:p w14:paraId="6849120D" w14:textId="14EA853F" w:rsidR="004554CF" w:rsidRDefault="004554CF" w:rsidP="004554CF">
      <w:pPr>
        <w:rPr>
          <w:lang w:val="en-US"/>
        </w:rPr>
      </w:pPr>
      <w:r>
        <w:rPr>
          <w:lang w:val="en-US"/>
        </w:rPr>
        <w:t>P. 15: The reference to “Health Technology Assessment” is not clear.</w:t>
      </w:r>
    </w:p>
    <w:p w14:paraId="0406900A" w14:textId="4B12A4FB" w:rsidR="004554CF" w:rsidRDefault="004554CF" w:rsidP="004554CF">
      <w:pPr>
        <w:rPr>
          <w:lang w:val="en-US"/>
        </w:rPr>
      </w:pPr>
      <w:r>
        <w:rPr>
          <w:lang w:val="en-US"/>
        </w:rPr>
        <w:t>P. 15: Suggest changing “Due to the high capacity…” to “Thanks to the high capacity….”</w:t>
      </w:r>
    </w:p>
    <w:p w14:paraId="25500EC5" w14:textId="4BF01765" w:rsidR="004554CF" w:rsidRDefault="004554CF" w:rsidP="004554CF">
      <w:pPr>
        <w:rPr>
          <w:lang w:val="en-US"/>
        </w:rPr>
      </w:pPr>
      <w:r>
        <w:rPr>
          <w:lang w:val="en-US"/>
        </w:rPr>
        <w:t>P. 16 and Table 4:</w:t>
      </w:r>
    </w:p>
    <w:p w14:paraId="54BE665E" w14:textId="1F649CBB" w:rsidR="004554CF" w:rsidRDefault="004554CF" w:rsidP="004554CF">
      <w:pPr>
        <w:rPr>
          <w:lang w:val="en-US"/>
        </w:rPr>
      </w:pPr>
      <w:r>
        <w:rPr>
          <w:lang w:val="en-US"/>
        </w:rPr>
        <w:tab/>
        <w:t xml:space="preserve">It could be </w:t>
      </w:r>
      <w:r w:rsidR="00FA0BB9">
        <w:rPr>
          <w:lang w:val="en-US"/>
        </w:rPr>
        <w:t>helpful</w:t>
      </w:r>
      <w:r>
        <w:rPr>
          <w:lang w:val="en-US"/>
        </w:rPr>
        <w:t xml:space="preserve"> to indicate that the income groups are defined as in Table 2.</w:t>
      </w:r>
    </w:p>
    <w:p w14:paraId="1BFF7B87" w14:textId="58D6BA4D" w:rsidR="004554CF" w:rsidRDefault="004554CF" w:rsidP="004554CF">
      <w:pPr>
        <w:ind w:left="1304"/>
        <w:rPr>
          <w:lang w:val="en-US"/>
        </w:rPr>
      </w:pPr>
      <w:bookmarkStart w:id="14" w:name="_Hlk53143281"/>
      <w:r>
        <w:rPr>
          <w:lang w:val="en-US"/>
        </w:rPr>
        <w:t>Please note that the UN should avoid using the terms “dividing line” and “occupied territory” and instead write “Administrative Boundary Line” and “Georgian regions of Abkhazia and South Ossetia/Tskhinvali”.</w:t>
      </w:r>
    </w:p>
    <w:p w14:paraId="40B611AF" w14:textId="3D55065D" w:rsidR="004554CF" w:rsidRDefault="004554CF" w:rsidP="004554CF">
      <w:pPr>
        <w:ind w:left="1304"/>
        <w:rPr>
          <w:lang w:val="en-US"/>
        </w:rPr>
      </w:pPr>
      <w:bookmarkStart w:id="15" w:name="_Hlk53143385"/>
      <w:bookmarkEnd w:id="14"/>
      <w:r>
        <w:rPr>
          <w:lang w:val="en-US"/>
        </w:rPr>
        <w:t>On the last two rows of Table 4, some categories are not included, respectively V(c) and IV-V.</w:t>
      </w:r>
    </w:p>
    <w:p w14:paraId="01E1ECC4" w14:textId="52C42CEA" w:rsidR="004554CF" w:rsidRDefault="004554CF" w:rsidP="004554CF">
      <w:pPr>
        <w:rPr>
          <w:lang w:val="en-US"/>
        </w:rPr>
      </w:pPr>
      <w:bookmarkStart w:id="16" w:name="_Hlk53143432"/>
      <w:bookmarkEnd w:id="15"/>
      <w:r>
        <w:rPr>
          <w:lang w:val="en-US"/>
        </w:rPr>
        <w:t>P. 17: Sagan &amp; Thomson (2016) is missing from the list of references.</w:t>
      </w:r>
    </w:p>
    <w:p w14:paraId="67B2AE50" w14:textId="1F9AD214" w:rsidR="00D361F0" w:rsidRDefault="00C825C9">
      <w:pPr>
        <w:rPr>
          <w:lang w:val="en-US"/>
        </w:rPr>
      </w:pPr>
      <w:r w:rsidRPr="00C825C9">
        <w:rPr>
          <w:lang w:val="en-US"/>
        </w:rPr>
        <w:t xml:space="preserve">P. 19, Box 1: Arora et al </w:t>
      </w:r>
      <w:r>
        <w:rPr>
          <w:lang w:val="en-US"/>
        </w:rPr>
        <w:t>(</w:t>
      </w:r>
      <w:r w:rsidRPr="00C825C9">
        <w:rPr>
          <w:lang w:val="en-US"/>
        </w:rPr>
        <w:t>2015</w:t>
      </w:r>
      <w:r>
        <w:rPr>
          <w:lang w:val="en-US"/>
        </w:rPr>
        <w:t>)</w:t>
      </w:r>
      <w:r w:rsidRPr="00C825C9">
        <w:rPr>
          <w:lang w:val="en-US"/>
        </w:rPr>
        <w:t xml:space="preserve"> a</w:t>
      </w:r>
      <w:r>
        <w:rPr>
          <w:lang w:val="en-US"/>
        </w:rPr>
        <w:t>nd EXPH (2016, 2017) are missing from the references.</w:t>
      </w:r>
    </w:p>
    <w:bookmarkEnd w:id="16"/>
    <w:p w14:paraId="117A07C2" w14:textId="1448C609" w:rsidR="00C825C9" w:rsidRDefault="00C825C9">
      <w:pPr>
        <w:rPr>
          <w:lang w:val="en-US"/>
        </w:rPr>
      </w:pPr>
      <w:r>
        <w:rPr>
          <w:lang w:val="en-US"/>
        </w:rPr>
        <w:t>P. 21: Figure 3:</w:t>
      </w:r>
    </w:p>
    <w:p w14:paraId="46E215B8" w14:textId="33964528" w:rsidR="00C825C9" w:rsidRDefault="00FA0BB9" w:rsidP="00C825C9">
      <w:pPr>
        <w:ind w:left="1304" w:firstLine="4"/>
        <w:rPr>
          <w:lang w:val="en-US"/>
        </w:rPr>
      </w:pPr>
      <w:bookmarkStart w:id="17" w:name="_Hlk53143517"/>
      <w:r>
        <w:rPr>
          <w:lang w:val="en-US"/>
        </w:rPr>
        <w:t>F</w:t>
      </w:r>
      <w:r w:rsidR="00C825C9">
        <w:rPr>
          <w:lang w:val="en-US"/>
        </w:rPr>
        <w:t xml:space="preserve">rom the last diagram </w:t>
      </w:r>
      <w:r>
        <w:rPr>
          <w:lang w:val="en-US"/>
        </w:rPr>
        <w:t xml:space="preserve">at the bottom of p. 21 </w:t>
      </w:r>
      <w:r w:rsidR="00C825C9">
        <w:rPr>
          <w:lang w:val="en-US"/>
        </w:rPr>
        <w:t xml:space="preserve">I conclude that the share of people who needed hospitalization in the past year but were not hospitalized due to cost was almost the same in the poorest and richest quintiles. This seems counterintuitive. </w:t>
      </w:r>
      <w:r>
        <w:rPr>
          <w:lang w:val="en-US"/>
        </w:rPr>
        <w:t>(</w:t>
      </w:r>
      <w:r w:rsidR="00C825C9">
        <w:rPr>
          <w:lang w:val="en-US"/>
        </w:rPr>
        <w:t>But I might misunderstand the meaning of this diagram.</w:t>
      </w:r>
      <w:r>
        <w:rPr>
          <w:lang w:val="en-US"/>
        </w:rPr>
        <w:t>)</w:t>
      </w:r>
    </w:p>
    <w:bookmarkEnd w:id="17"/>
    <w:p w14:paraId="419B2588" w14:textId="48064D20" w:rsidR="00C825C9" w:rsidRDefault="00C825C9" w:rsidP="00C825C9">
      <w:pPr>
        <w:rPr>
          <w:lang w:val="en-US"/>
        </w:rPr>
      </w:pPr>
      <w:r>
        <w:rPr>
          <w:lang w:val="en-US"/>
        </w:rPr>
        <w:t>P. 32, Figure 16: I had difficulties interpreting Figure 16. The text says that “Catastrophic spending is concentrated among households who are at risk of impoverishment, impoverished and further impoverished after OOPs</w:t>
      </w:r>
      <w:r w:rsidR="005418EF">
        <w:rPr>
          <w:lang w:val="en-US"/>
        </w:rPr>
        <w:t>.</w:t>
      </w:r>
      <w:r>
        <w:rPr>
          <w:lang w:val="en-US"/>
        </w:rPr>
        <w:t>”</w:t>
      </w:r>
      <w:r w:rsidR="005418EF">
        <w:rPr>
          <w:lang w:val="en-US"/>
        </w:rPr>
        <w:t xml:space="preserve"> This is not clear to me from Figure 16; the largest category in that figure is “Not at risk of impoverishment.”</w:t>
      </w:r>
    </w:p>
    <w:p w14:paraId="34C9958D" w14:textId="21A3D9A6" w:rsidR="005418EF" w:rsidRDefault="005418EF" w:rsidP="00C825C9">
      <w:pPr>
        <w:rPr>
          <w:lang w:val="en-US"/>
        </w:rPr>
      </w:pPr>
      <w:r>
        <w:rPr>
          <w:lang w:val="en-US"/>
        </w:rPr>
        <w:t>P. 41, Figure 26: This figure is not commented on in the text; the narrative goes from Figure 25 to 27.</w:t>
      </w:r>
    </w:p>
    <w:p w14:paraId="25E16FAD" w14:textId="7FFA9B11" w:rsidR="005418EF" w:rsidRDefault="005418EF" w:rsidP="00C825C9">
      <w:pPr>
        <w:rPr>
          <w:lang w:val="en-US"/>
        </w:rPr>
      </w:pPr>
      <w:r>
        <w:rPr>
          <w:lang w:val="en-US"/>
        </w:rPr>
        <w:t xml:space="preserve">P. 47: </w:t>
      </w:r>
      <w:bookmarkStart w:id="18" w:name="_Hlk53143608"/>
      <w:proofErr w:type="spellStart"/>
      <w:r>
        <w:rPr>
          <w:lang w:val="en-US"/>
        </w:rPr>
        <w:t>Gotsadze</w:t>
      </w:r>
      <w:proofErr w:type="spellEnd"/>
      <w:r>
        <w:rPr>
          <w:lang w:val="en-US"/>
        </w:rPr>
        <w:t xml:space="preserve"> (2011) and Richardson &amp; </w:t>
      </w:r>
      <w:proofErr w:type="spellStart"/>
      <w:r>
        <w:rPr>
          <w:lang w:val="en-US"/>
        </w:rPr>
        <w:t>Berdzuli</w:t>
      </w:r>
      <w:proofErr w:type="spellEnd"/>
      <w:r>
        <w:rPr>
          <w:lang w:val="en-US"/>
        </w:rPr>
        <w:t xml:space="preserve"> (2017) </w:t>
      </w:r>
      <w:bookmarkEnd w:id="18"/>
      <w:r>
        <w:rPr>
          <w:lang w:val="en-US"/>
        </w:rPr>
        <w:t>are missing from the references.</w:t>
      </w:r>
    </w:p>
    <w:p w14:paraId="4C1BE678" w14:textId="2DA1803C" w:rsidR="005418EF" w:rsidRPr="00C825C9" w:rsidRDefault="005418EF" w:rsidP="00C825C9">
      <w:pPr>
        <w:rPr>
          <w:lang w:val="en-US"/>
        </w:rPr>
      </w:pPr>
      <w:r>
        <w:rPr>
          <w:lang w:val="en-US"/>
        </w:rPr>
        <w:t>P. 48 (first line): Change “unless” to “if”.</w:t>
      </w:r>
    </w:p>
    <w:sectPr w:rsidR="005418EF" w:rsidRPr="00C825C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HOMSON, Sarah" w:date="2020-10-09T12:47:00Z" w:initials="TS">
    <w:p w14:paraId="701C1B60" w14:textId="77777777" w:rsidR="002822C2" w:rsidRDefault="002822C2">
      <w:pPr>
        <w:pStyle w:val="CommentText"/>
      </w:pPr>
      <w:r>
        <w:rPr>
          <w:rStyle w:val="CommentReference"/>
        </w:rPr>
        <w:annotationRef/>
      </w:r>
      <w:r>
        <w:t>We will do this via the executive summary.</w:t>
      </w:r>
    </w:p>
    <w:p w14:paraId="6E8448B8" w14:textId="77777777" w:rsidR="002822C2" w:rsidRDefault="002822C2">
      <w:pPr>
        <w:pStyle w:val="CommentText"/>
      </w:pPr>
    </w:p>
    <w:p w14:paraId="55E2DC74" w14:textId="059B0C46" w:rsidR="002822C2" w:rsidRDefault="002822C2">
      <w:pPr>
        <w:pStyle w:val="CommentText"/>
      </w:pPr>
      <w:r>
        <w:t>We can also consider signalling some key findings in the introduction.</w:t>
      </w:r>
    </w:p>
  </w:comment>
  <w:comment w:id="1" w:author="HABICHT, Triin" w:date="2020-10-10T07:49:00Z" w:initials="HT">
    <w:p w14:paraId="52689BB3" w14:textId="172EF503" w:rsidR="00CA7F1D" w:rsidRDefault="00CA7F1D">
      <w:pPr>
        <w:pStyle w:val="CommentText"/>
      </w:pPr>
      <w:r>
        <w:rPr>
          <w:rStyle w:val="CommentReference"/>
        </w:rPr>
        <w:annotationRef/>
      </w:r>
      <w:r>
        <w:t>It is mentioned in the introduction as a key driver of OOP spending</w:t>
      </w:r>
    </w:p>
  </w:comment>
  <w:comment w:id="2" w:author="THOMSON, Sarah" w:date="2020-10-09T12:49:00Z" w:initials="TS">
    <w:p w14:paraId="6E06F83B" w14:textId="131A9EE8" w:rsidR="002822C2" w:rsidRDefault="002822C2">
      <w:pPr>
        <w:pStyle w:val="CommentText"/>
      </w:pPr>
      <w:r>
        <w:rPr>
          <w:rStyle w:val="CommentReference"/>
        </w:rPr>
        <w:annotationRef/>
      </w:r>
      <w:r>
        <w:t>Noted. The glossary helps with this. No action required from the authors</w:t>
      </w:r>
    </w:p>
  </w:comment>
  <w:comment w:id="3" w:author="THOMSON, Sarah" w:date="2020-10-09T12:50:00Z" w:initials="TS">
    <w:p w14:paraId="7F4EF116" w14:textId="0C6B1238" w:rsidR="002822C2" w:rsidRDefault="002822C2">
      <w:pPr>
        <w:pStyle w:val="CommentText"/>
      </w:pPr>
      <w:r>
        <w:rPr>
          <w:rStyle w:val="CommentReference"/>
        </w:rPr>
        <w:annotationRef/>
      </w:r>
      <w:r>
        <w:t>Agree it is important to follow up on this. Allison can help with this?</w:t>
      </w:r>
    </w:p>
  </w:comment>
  <w:comment w:id="4" w:author="THOMSON, Sarah" w:date="2020-10-09T12:51:00Z" w:initials="TS">
    <w:p w14:paraId="02A69DC7" w14:textId="44C33339" w:rsidR="002822C2" w:rsidRDefault="002822C2">
      <w:pPr>
        <w:pStyle w:val="CommentText"/>
      </w:pPr>
      <w:r>
        <w:rPr>
          <w:rStyle w:val="CommentReference"/>
        </w:rPr>
        <w:annotationRef/>
      </w:r>
      <w:r>
        <w:t>Good point. Revise the text in the introduction and make sure it is clear in the executive summary that the report goes up to 2020</w:t>
      </w:r>
    </w:p>
  </w:comment>
  <w:comment w:id="5" w:author="THOMSON, Sarah" w:date="2020-10-09T12:51:00Z" w:initials="TS">
    <w:p w14:paraId="0F90E029" w14:textId="253DDF27" w:rsidR="002822C2" w:rsidRDefault="002822C2">
      <w:pPr>
        <w:pStyle w:val="CommentText"/>
      </w:pPr>
      <w:r>
        <w:rPr>
          <w:rStyle w:val="CommentReference"/>
        </w:rPr>
        <w:annotationRef/>
      </w:r>
      <w:r>
        <w:t>I don’t know enough about the GEO situation to know how important this is. Allison can guide us here? I would not like to say anything that is going to date the report.</w:t>
      </w:r>
    </w:p>
  </w:comment>
  <w:comment w:id="6" w:author="HABICHT, Triin" w:date="2020-10-10T07:52:00Z" w:initials="HT">
    <w:p w14:paraId="7F7A325A" w14:textId="22326AB9" w:rsidR="00CA7F1D" w:rsidRDefault="00CA7F1D">
      <w:pPr>
        <w:pStyle w:val="CommentText"/>
      </w:pPr>
      <w:r>
        <w:rPr>
          <w:rStyle w:val="CommentReference"/>
        </w:rPr>
        <w:annotationRef/>
      </w:r>
      <w:r>
        <w:t>This was also Kaki’s comment</w:t>
      </w:r>
      <w:r w:rsidR="00DE55D0">
        <w:t>. I’m not aware of any important implications but Keti could also help here.</w:t>
      </w:r>
    </w:p>
  </w:comment>
  <w:comment w:id="7" w:author="THOMSON, Sarah" w:date="2020-10-09T12:53:00Z" w:initials="TS">
    <w:p w14:paraId="51A6A6D8" w14:textId="573A39BB" w:rsidR="002822C2" w:rsidRDefault="002822C2">
      <w:pPr>
        <w:pStyle w:val="CommentText"/>
      </w:pPr>
      <w:r>
        <w:rPr>
          <w:rStyle w:val="CommentReference"/>
        </w:rPr>
        <w:annotationRef/>
      </w:r>
      <w:r>
        <w:t>Interesting feedback. What do you think about including Fig 23 in the introduction?</w:t>
      </w:r>
    </w:p>
  </w:comment>
  <w:comment w:id="8" w:author="HABICHT, Triin" w:date="2020-10-10T07:55:00Z" w:initials="HT">
    <w:p w14:paraId="7DBE3B20" w14:textId="3E5F186D" w:rsidR="00CA7F1D" w:rsidRDefault="00CA7F1D">
      <w:pPr>
        <w:pStyle w:val="CommentText"/>
      </w:pPr>
      <w:r>
        <w:rPr>
          <w:rStyle w:val="CommentReference"/>
        </w:rPr>
        <w:annotationRef/>
      </w:r>
      <w:r>
        <w:t xml:space="preserve">Maybe in the ex summary? </w:t>
      </w:r>
    </w:p>
  </w:comment>
  <w:comment w:id="9" w:author="THOMSON, Sarah" w:date="2020-10-09T12:56:00Z" w:initials="TS">
    <w:p w14:paraId="74FA5C9E" w14:textId="2B0460EF" w:rsidR="002822C2" w:rsidRDefault="002822C2">
      <w:pPr>
        <w:pStyle w:val="CommentText"/>
      </w:pPr>
      <w:r>
        <w:rPr>
          <w:rStyle w:val="CommentReference"/>
        </w:rPr>
        <w:annotationRef/>
      </w:r>
      <w:r>
        <w:t>Yes, all country reports have an executive summary</w:t>
      </w:r>
    </w:p>
  </w:comment>
  <w:comment w:id="10" w:author="THOMSON, Sarah" w:date="2020-10-09T12:55:00Z" w:initials="TS">
    <w:p w14:paraId="19A84170" w14:textId="77777777" w:rsidR="002822C2" w:rsidRDefault="002822C2">
      <w:pPr>
        <w:pStyle w:val="CommentText"/>
      </w:pPr>
      <w:r>
        <w:rPr>
          <w:rStyle w:val="CommentReference"/>
        </w:rPr>
        <w:annotationRef/>
      </w:r>
      <w:r>
        <w:t>The repetition in section 7 is deliberate. It is a summary for those who will only read 1-2 pages of anything.</w:t>
      </w:r>
    </w:p>
    <w:p w14:paraId="34E3E86B" w14:textId="77777777" w:rsidR="002822C2" w:rsidRDefault="002822C2">
      <w:pPr>
        <w:pStyle w:val="CommentText"/>
      </w:pPr>
    </w:p>
    <w:p w14:paraId="6FC5A661" w14:textId="0585B195" w:rsidR="002822C2" w:rsidRDefault="002822C2">
      <w:pPr>
        <w:pStyle w:val="CommentText"/>
      </w:pPr>
      <w:r>
        <w:t>I don’t think there is so much repetition in section 6, but you can keep this in mind as you review.</w:t>
      </w:r>
    </w:p>
  </w:comment>
  <w:comment w:id="11" w:author="HABICHT, Triin" w:date="2020-10-10T08:00:00Z" w:initials="HT">
    <w:p w14:paraId="03350D8F" w14:textId="740AF3C7" w:rsidR="00DE55D0" w:rsidRDefault="00DE55D0">
      <w:pPr>
        <w:pStyle w:val="CommentText"/>
      </w:pPr>
      <w:r>
        <w:rPr>
          <w:rStyle w:val="CommentReference"/>
        </w:rPr>
        <w:annotationRef/>
      </w:r>
      <w:r>
        <w:t>I don’t think that we have</w:t>
      </w:r>
      <w:bookmarkStart w:id="12" w:name="_GoBack"/>
      <w:bookmarkEnd w:id="12"/>
      <w:r>
        <w:t xml:space="preserve"> unnecessary repetions </w:t>
      </w:r>
    </w:p>
  </w:comment>
  <w:comment w:id="13" w:author="THOMSON, Sarah" w:date="2020-10-09T13:36:00Z" w:initials="TS">
    <w:p w14:paraId="584EC3EE" w14:textId="52D85E67" w:rsidR="007E329A" w:rsidRDefault="007E329A">
      <w:pPr>
        <w:pStyle w:val="CommentText"/>
      </w:pPr>
      <w:r>
        <w:rPr>
          <w:rStyle w:val="CommentReference"/>
        </w:rPr>
        <w:annotationRef/>
      </w:r>
      <w:r>
        <w:t>I have incorporated these into the text</w:t>
      </w:r>
      <w:r w:rsidR="00CA7258">
        <w:t xml:space="preserve"> where I think they need to be addressed, so no need for you to read this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E2DC74" w15:done="0"/>
  <w15:commentEx w15:paraId="52689BB3" w15:done="0"/>
  <w15:commentEx w15:paraId="6E06F83B" w15:done="0"/>
  <w15:commentEx w15:paraId="7F4EF116" w15:done="0"/>
  <w15:commentEx w15:paraId="02A69DC7" w15:done="0"/>
  <w15:commentEx w15:paraId="0F90E029" w15:done="0"/>
  <w15:commentEx w15:paraId="7F7A325A" w15:paraIdParent="0F90E029" w15:done="0"/>
  <w15:commentEx w15:paraId="51A6A6D8" w15:done="0"/>
  <w15:commentEx w15:paraId="7DBE3B20" w15:paraIdParent="51A6A6D8" w15:done="0"/>
  <w15:commentEx w15:paraId="74FA5C9E" w15:done="0"/>
  <w15:commentEx w15:paraId="6FC5A661" w15:done="0"/>
  <w15:commentEx w15:paraId="03350D8F" w15:paraIdParent="6FC5A661" w15:done="0"/>
  <w15:commentEx w15:paraId="584EC3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E2DC74" w16cid:durableId="232ADA70"/>
  <w16cid:commentId w16cid:paraId="52689BB3" w16cid:durableId="232BE61B"/>
  <w16cid:commentId w16cid:paraId="6E06F83B" w16cid:durableId="232ADAF6"/>
  <w16cid:commentId w16cid:paraId="7F4EF116" w16cid:durableId="232ADB1D"/>
  <w16cid:commentId w16cid:paraId="02A69DC7" w16cid:durableId="232ADB3E"/>
  <w16cid:commentId w16cid:paraId="0F90E029" w16cid:durableId="232ADB67"/>
  <w16cid:commentId w16cid:paraId="7F7A325A" w16cid:durableId="232BE6DA"/>
  <w16cid:commentId w16cid:paraId="51A6A6D8" w16cid:durableId="232ADBE6"/>
  <w16cid:commentId w16cid:paraId="7DBE3B20" w16cid:durableId="232BE75D"/>
  <w16cid:commentId w16cid:paraId="74FA5C9E" w16cid:durableId="232ADC76"/>
  <w16cid:commentId w16cid:paraId="6FC5A661" w16cid:durableId="232ADC3F"/>
  <w16cid:commentId w16cid:paraId="03350D8F" w16cid:durableId="232BE8B7"/>
  <w16cid:commentId w16cid:paraId="584EC3EE" w16cid:durableId="232AE5F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274D59"/>
    <w:multiLevelType w:val="hybridMultilevel"/>
    <w:tmpl w:val="AC6E86E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SON, Sarah">
    <w15:presenceInfo w15:providerId="AD" w15:userId="S::thomsons@who.int::a7cad769-8eb2-4724-9e4d-f920d4890489"/>
  </w15:person>
  <w15:person w15:author="HABICHT, Triin">
    <w15:presenceInfo w15:providerId="AD" w15:userId="S::habichtt@who.int::05674f59-7eeb-4dc3-88b8-8509909379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3B6"/>
    <w:rsid w:val="0003686A"/>
    <w:rsid w:val="00124E70"/>
    <w:rsid w:val="00155800"/>
    <w:rsid w:val="002822C2"/>
    <w:rsid w:val="00317788"/>
    <w:rsid w:val="004554CF"/>
    <w:rsid w:val="005418EF"/>
    <w:rsid w:val="00772801"/>
    <w:rsid w:val="007C43B6"/>
    <w:rsid w:val="007E329A"/>
    <w:rsid w:val="00995BD6"/>
    <w:rsid w:val="00A26A29"/>
    <w:rsid w:val="00AD6D84"/>
    <w:rsid w:val="00C825C9"/>
    <w:rsid w:val="00CA7258"/>
    <w:rsid w:val="00CA7F1D"/>
    <w:rsid w:val="00D361F0"/>
    <w:rsid w:val="00DE55D0"/>
    <w:rsid w:val="00F170BD"/>
    <w:rsid w:val="00FA0B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D3F0"/>
  <w15:chartTrackingRefBased/>
  <w15:docId w15:val="{F811EB64-9A1B-46BA-B926-C3B6D89A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3B6"/>
    <w:pPr>
      <w:ind w:left="720"/>
      <w:contextualSpacing/>
    </w:pPr>
  </w:style>
  <w:style w:type="character" w:styleId="Hyperlink">
    <w:name w:val="Hyperlink"/>
    <w:basedOn w:val="DefaultParagraphFont"/>
    <w:uiPriority w:val="99"/>
    <w:unhideWhenUsed/>
    <w:rsid w:val="00F170BD"/>
    <w:rPr>
      <w:color w:val="0563C1" w:themeColor="hyperlink"/>
      <w:u w:val="single"/>
    </w:rPr>
  </w:style>
  <w:style w:type="character" w:styleId="CommentReference">
    <w:name w:val="annotation reference"/>
    <w:basedOn w:val="DefaultParagraphFont"/>
    <w:uiPriority w:val="99"/>
    <w:semiHidden/>
    <w:unhideWhenUsed/>
    <w:rsid w:val="002822C2"/>
    <w:rPr>
      <w:sz w:val="16"/>
      <w:szCs w:val="16"/>
    </w:rPr>
  </w:style>
  <w:style w:type="paragraph" w:styleId="CommentText">
    <w:name w:val="annotation text"/>
    <w:basedOn w:val="Normal"/>
    <w:link w:val="CommentTextChar"/>
    <w:uiPriority w:val="99"/>
    <w:semiHidden/>
    <w:unhideWhenUsed/>
    <w:rsid w:val="002822C2"/>
    <w:pPr>
      <w:spacing w:line="240" w:lineRule="auto"/>
    </w:pPr>
    <w:rPr>
      <w:sz w:val="20"/>
      <w:szCs w:val="20"/>
    </w:rPr>
  </w:style>
  <w:style w:type="character" w:customStyle="1" w:styleId="CommentTextChar">
    <w:name w:val="Comment Text Char"/>
    <w:basedOn w:val="DefaultParagraphFont"/>
    <w:link w:val="CommentText"/>
    <w:uiPriority w:val="99"/>
    <w:semiHidden/>
    <w:rsid w:val="002822C2"/>
    <w:rPr>
      <w:sz w:val="20"/>
      <w:szCs w:val="20"/>
    </w:rPr>
  </w:style>
  <w:style w:type="paragraph" w:styleId="CommentSubject">
    <w:name w:val="annotation subject"/>
    <w:basedOn w:val="CommentText"/>
    <w:next w:val="CommentText"/>
    <w:link w:val="CommentSubjectChar"/>
    <w:uiPriority w:val="99"/>
    <w:semiHidden/>
    <w:unhideWhenUsed/>
    <w:rsid w:val="002822C2"/>
    <w:rPr>
      <w:b/>
      <w:bCs/>
    </w:rPr>
  </w:style>
  <w:style w:type="character" w:customStyle="1" w:styleId="CommentSubjectChar">
    <w:name w:val="Comment Subject Char"/>
    <w:basedOn w:val="CommentTextChar"/>
    <w:link w:val="CommentSubject"/>
    <w:uiPriority w:val="99"/>
    <w:semiHidden/>
    <w:rsid w:val="002822C2"/>
    <w:rPr>
      <w:b/>
      <w:bCs/>
      <w:sz w:val="20"/>
      <w:szCs w:val="20"/>
    </w:rPr>
  </w:style>
  <w:style w:type="paragraph" w:styleId="BalloonText">
    <w:name w:val="Balloon Text"/>
    <w:basedOn w:val="Normal"/>
    <w:link w:val="BalloonTextChar"/>
    <w:uiPriority w:val="99"/>
    <w:semiHidden/>
    <w:unhideWhenUsed/>
    <w:rsid w:val="00282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2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irc.org/publications/pdf/Supporting%20Families%20and%20Children%20beyond%20COVID-19%20Southern%20and%20Eastern%20Europe%20and%20Central%20Asia.pdf"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Andermo</dc:creator>
  <cp:keywords/>
  <dc:description/>
  <cp:lastModifiedBy>HABICHT, Triin</cp:lastModifiedBy>
  <cp:revision>3</cp:revision>
  <dcterms:created xsi:type="dcterms:W3CDTF">2020-10-10T05:46:00Z</dcterms:created>
  <dcterms:modified xsi:type="dcterms:W3CDTF">2020-10-10T06:01:00Z</dcterms:modified>
</cp:coreProperties>
</file>